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eastAsia="方正黑体_GBK"/>
          <w:bCs/>
          <w:snapToGrid w:val="0"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snapToGrid w:val="0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napToGrid w:val="0"/>
          <w:color w:val="000000"/>
          <w:sz w:val="44"/>
          <w:szCs w:val="44"/>
        </w:rPr>
        <w:t>推进柳州市工业高质量发展建设现代制造城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color w:val="00000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000000"/>
          <w:sz w:val="44"/>
          <w:szCs w:val="44"/>
        </w:rPr>
        <w:t>五年（2018—2022年）发展目标表</w:t>
      </w:r>
    </w:p>
    <w:bookmarkEnd w:id="0"/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color w:val="000000"/>
          <w:sz w:val="32"/>
          <w:szCs w:val="32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1"/>
        <w:gridCol w:w="3686"/>
        <w:gridCol w:w="882"/>
        <w:gridCol w:w="1497"/>
        <w:gridCol w:w="149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blHeader/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指   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2017年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工业总产值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5116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工业增加值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主营业务收入超亿元中小企业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家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工业投资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/>
                <w:snapToGrid w:val="0"/>
                <w:color w:val="000000"/>
                <w:sz w:val="24"/>
                <w:szCs w:val="24"/>
              </w:rPr>
              <w:t>一、创新能力明显增强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规模以上制造业企业研发经费内部支出占主营业务收入比重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规模以上制造业企业每亿元主营业务收入有效发明专利数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规模以上工业企业研发机构覆盖率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国家高新技术企业数量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家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自治区级以上企业技术中心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家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/>
                <w:snapToGrid w:val="0"/>
                <w:color w:val="000000"/>
                <w:sz w:val="24"/>
                <w:szCs w:val="24"/>
              </w:rPr>
              <w:t>二、人才支撑明显增强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专业技术人才人数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万人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高技能人才人数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万人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/>
                <w:snapToGrid w:val="0"/>
                <w:color w:val="000000"/>
                <w:sz w:val="24"/>
                <w:szCs w:val="24"/>
              </w:rPr>
              <w:t>三、质量效益显著提升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制造业竞争力指数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84.42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86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jc w:val="center"/>
        </w:trPr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制造业增加值率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26.1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27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制造业增加值率增速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比2015年提高1个百分点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比2017年提高1个百分点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比2017年提高2个百分点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规模以上</w:t>
            </w:r>
            <w:r>
              <w:rPr>
                <w:rFonts w:hint="eastAsia" w:eastAsia="方正仿宋_GBK"/>
                <w:snapToGrid w:val="0"/>
                <w:sz w:val="24"/>
                <w:szCs w:val="24"/>
              </w:rPr>
              <w:t>制造业全员劳动生产率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万元/人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53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59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品牌产品工业总产值占全市工业总产值的比例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34.03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品牌企业工业总产值占全市工业总产值的比例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/>
                <w:snapToGrid w:val="0"/>
                <w:color w:val="000000"/>
                <w:sz w:val="24"/>
                <w:szCs w:val="24"/>
              </w:rPr>
              <w:t>四、绿色制造显著提升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规模以上单位工业增加值能耗下降幅度（较2015年）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单位工业增加值用水量下降幅度（较2015年）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工业固体废物综合利用率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97.48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98.3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/>
                <w:snapToGrid w:val="0"/>
                <w:color w:val="000000"/>
                <w:sz w:val="24"/>
                <w:szCs w:val="24"/>
              </w:rPr>
              <w:t>五、产业结构不断提升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战略性新兴产业产值占全市工业总产值的比重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工业园区工业总产值占全市工业总产值的比重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59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65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轻工业工业总产值占全市工业总产值的比重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数字化研发设计工具普及率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57.9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80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关键工序数控化率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52.8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60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重点产业数字化车间/工厂普及率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/>
                <w:snapToGrid w:val="0"/>
                <w:color w:val="000000"/>
                <w:sz w:val="24"/>
                <w:szCs w:val="24"/>
              </w:rPr>
              <w:t>六、分行业工业总产值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汽车产业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钢铁产业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机械产业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化工及日化产业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轻工产业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高端装备制造业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新一代电子信息技术产业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节能环保产业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wBefore w:w="11" w:type="dxa"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bCs/>
                <w:snapToGrid w:val="0"/>
                <w:color w:val="000000"/>
                <w:sz w:val="24"/>
                <w:szCs w:val="24"/>
              </w:rPr>
              <w:t>生物与制药产业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150</w:t>
            </w:r>
          </w:p>
        </w:tc>
      </w:tr>
    </w:tbl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6BFF"/>
    <w:rsid w:val="24171F74"/>
    <w:rsid w:val="788F6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2018-09-05T09:08:00Z</dcterms:created>
  <dc:creator>dengd</dc:creator>
  <cp:lastModifiedBy>dengd</cp:lastModifiedBy>
  <dcterms:modified xsi:type="dcterms:W3CDTF">2018-09-05T09:09:42Z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